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9C0" w:rsidRDefault="007F5B50">
      <w:pPr>
        <w:spacing w:after="80"/>
      </w:pPr>
      <w:r>
        <w:rPr>
          <w:rFonts w:ascii="Lora" w:eastAsia="Lora" w:hAnsi="Lora" w:cs="Lora"/>
          <w:b/>
          <w:bCs/>
          <w:color w:val="2E4A35"/>
          <w:sz w:val="44"/>
          <w:szCs w:val="44"/>
        </w:rPr>
        <w:t>Emergency Fund Checklist</w:t>
      </w:r>
    </w:p>
    <w:p w:rsidR="00E049C0" w:rsidRPr="003557BB" w:rsidRDefault="00014604">
      <w:pPr>
        <w:spacing w:after="320"/>
        <w:rPr>
          <w:sz w:val="22"/>
          <w:szCs w:val="22"/>
        </w:rPr>
      </w:pPr>
      <w:r w:rsidRPr="003557BB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An emergency fund is your</w:t>
      </w:r>
      <w:r w:rsidR="007F5B50" w:rsidRPr="003557BB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 first layer of financial security — money set aside for the unexpected, kept separate from your everyday and investment accounts. Use this checklist to build, maintain and review yours.</w:t>
      </w:r>
    </w:p>
    <w:p w:rsidR="00E049C0" w:rsidRDefault="007F5B50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Assessing Your Emergency Fund Need</w:t>
      </w:r>
    </w:p>
    <w:p w:rsidR="00E049C0" w:rsidRDefault="007F5B50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Calculate</w:t>
      </w:r>
      <w:r>
        <w:rPr>
          <w:rFonts w:ascii="Work Sans" w:eastAsia="Work Sans" w:hAnsi="Work Sans" w:cs="Work Sans"/>
          <w:sz w:val="22"/>
          <w:szCs w:val="22"/>
        </w:rPr>
        <w:t xml:space="preserve"> average monthly essential expenses</w:t>
      </w:r>
    </w:p>
    <w:p w:rsidR="00E049C0" w:rsidRDefault="007F5B50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Rent/EMI, groceries, utilities, insurance premiums, and other non-negotiables</w:t>
      </w:r>
    </w:p>
    <w:p w:rsidR="00E049C0" w:rsidRDefault="007F5B50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Decide</w:t>
      </w:r>
      <w:r>
        <w:rPr>
          <w:rFonts w:ascii="Work Sans" w:eastAsia="Work Sans" w:hAnsi="Work Sans" w:cs="Work Sans"/>
          <w:sz w:val="22"/>
          <w:szCs w:val="22"/>
        </w:rPr>
        <w:t xml:space="preserve"> on a target coverage period</w:t>
      </w:r>
    </w:p>
    <w:p w:rsidR="00E049C0" w:rsidRDefault="007F5B50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Typically 3–6 months of expenses; 6–12 months for single-income households or variable income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Account</w:t>
      </w:r>
      <w:r>
        <w:rPr>
          <w:rFonts w:ascii="Work Sans" w:eastAsia="Work Sans" w:hAnsi="Work Sans" w:cs="Work Sans"/>
          <w:sz w:val="22"/>
          <w:szCs w:val="22"/>
        </w:rPr>
        <w:t xml:space="preserve"> for dependents and any ongoing medical or family commitments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Factor</w:t>
      </w:r>
      <w:r>
        <w:rPr>
          <w:rFonts w:ascii="Work Sans" w:eastAsia="Work Sans" w:hAnsi="Work Sans" w:cs="Work Sans"/>
          <w:sz w:val="22"/>
          <w:szCs w:val="22"/>
        </w:rPr>
        <w:t xml:space="preserve"> in job stability and income predictability</w:t>
      </w:r>
    </w:p>
    <w:p w:rsidR="00E049C0" w:rsidRDefault="007F5B50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Building the Fund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Open</w:t>
      </w:r>
      <w:r>
        <w:rPr>
          <w:rFonts w:ascii="Work Sans" w:eastAsia="Work Sans" w:hAnsi="Work Sans" w:cs="Work Sans"/>
          <w:sz w:val="22"/>
          <w:szCs w:val="22"/>
        </w:rPr>
        <w:t xml:space="preserve"> a separate account or instrument dedicated only to the emergency fund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Set</w:t>
      </w:r>
      <w:r w:rsidR="003557BB">
        <w:rPr>
          <w:rFonts w:ascii="Work Sans" w:eastAsia="Work Sans" w:hAnsi="Work Sans" w:cs="Work Sans"/>
          <w:sz w:val="22"/>
          <w:szCs w:val="22"/>
        </w:rPr>
        <w:t>-</w:t>
      </w:r>
      <w:r>
        <w:rPr>
          <w:rFonts w:ascii="Work Sans" w:eastAsia="Work Sans" w:hAnsi="Work Sans" w:cs="Work Sans"/>
          <w:sz w:val="22"/>
          <w:szCs w:val="22"/>
        </w:rPr>
        <w:t xml:space="preserve">up a recurring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transfer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or SIP to build the fund gradually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spellStart"/>
      <w:r>
        <w:rPr>
          <w:rFonts w:ascii="Work Sans" w:eastAsia="Work Sans" w:hAnsi="Work Sans" w:cs="Work Sans"/>
          <w:sz w:val="22"/>
          <w:szCs w:val="22"/>
        </w:rPr>
        <w:t>Prioritise</w:t>
      </w:r>
      <w:proofErr w:type="spellEnd"/>
      <w:r>
        <w:rPr>
          <w:rFonts w:ascii="Work Sans" w:eastAsia="Work Sans" w:hAnsi="Work Sans" w:cs="Work Sans"/>
          <w:sz w:val="22"/>
          <w:szCs w:val="22"/>
        </w:rPr>
        <w:t xml:space="preserve"> building this fund before aggressive investing, if starting from scratch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Avoid</w:t>
      </w:r>
      <w:r>
        <w:rPr>
          <w:rFonts w:ascii="Work Sans" w:eastAsia="Work Sans" w:hAnsi="Work Sans" w:cs="Work Sans"/>
          <w:sz w:val="22"/>
          <w:szCs w:val="22"/>
        </w:rPr>
        <w:t xml:space="preserve"> mixing emergency savings with other financial goals</w:t>
      </w:r>
    </w:p>
    <w:p w:rsidR="00E049C0" w:rsidRDefault="007F5B50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Where to Keep It</w:t>
      </w:r>
    </w:p>
    <w:p w:rsidR="00E049C0" w:rsidRDefault="007F5B50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Keep</w:t>
      </w:r>
      <w:r>
        <w:rPr>
          <w:rFonts w:ascii="Work Sans" w:eastAsia="Work Sans" w:hAnsi="Work Sans" w:cs="Work Sans"/>
          <w:sz w:val="22"/>
          <w:szCs w:val="22"/>
        </w:rPr>
        <w:t xml:space="preserve"> the fund in liquid, easily accessible instruments</w:t>
      </w:r>
    </w:p>
    <w:p w:rsidR="00E049C0" w:rsidRDefault="007F5B50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Savings account, liquid funds, or short-term fixed deposits with premature withdrawal options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Balance</w:t>
      </w:r>
      <w:r>
        <w:rPr>
          <w:rFonts w:ascii="Work Sans" w:eastAsia="Work Sans" w:hAnsi="Work Sans" w:cs="Work Sans"/>
          <w:sz w:val="22"/>
          <w:szCs w:val="22"/>
        </w:rPr>
        <w:t xml:space="preserve"> accessibility with a small return, rather than leaving it idle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Avoid</w:t>
      </w:r>
      <w:r>
        <w:rPr>
          <w:rFonts w:ascii="Work Sans" w:eastAsia="Work Sans" w:hAnsi="Work Sans" w:cs="Work Sans"/>
          <w:sz w:val="22"/>
          <w:szCs w:val="22"/>
        </w:rPr>
        <w:t xml:space="preserve"> instruments with exit loads, lock-ins or market-linked volatility</w:t>
      </w:r>
    </w:p>
    <w:p w:rsidR="00E049C0" w:rsidRDefault="007F5B50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Maintaining &amp; Reviewing</w:t>
      </w:r>
    </w:p>
    <w:p w:rsidR="00E049C0" w:rsidRDefault="007F5B50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Review</w:t>
      </w:r>
      <w:r>
        <w:rPr>
          <w:rFonts w:ascii="Work Sans" w:eastAsia="Work Sans" w:hAnsi="Work Sans" w:cs="Work Sans"/>
          <w:sz w:val="22"/>
          <w:szCs w:val="22"/>
        </w:rPr>
        <w:t xml:space="preserve"> the fund size annually or after a major life change</w:t>
      </w:r>
    </w:p>
    <w:p w:rsidR="00E049C0" w:rsidRDefault="007F5B50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New job, marriage, child, home purchase, and so on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Replenish</w:t>
      </w:r>
      <w:r>
        <w:rPr>
          <w:rFonts w:ascii="Work Sans" w:eastAsia="Work Sans" w:hAnsi="Work Sans" w:cs="Work Sans"/>
          <w:sz w:val="22"/>
          <w:szCs w:val="22"/>
        </w:rPr>
        <w:t xml:space="preserve"> the fund promptly after any withdrawal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Adjust</w:t>
      </w:r>
      <w:r>
        <w:rPr>
          <w:rFonts w:ascii="Work Sans" w:eastAsia="Work Sans" w:hAnsi="Work Sans" w:cs="Work Sans"/>
          <w:sz w:val="22"/>
          <w:szCs w:val="22"/>
        </w:rPr>
        <w:t xml:space="preserve"> the target amount as expenses or responsibilities grow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Confirm</w:t>
      </w:r>
      <w:r>
        <w:rPr>
          <w:rFonts w:ascii="Work Sans" w:eastAsia="Work Sans" w:hAnsi="Work Sans" w:cs="Work Sans"/>
          <w:sz w:val="22"/>
          <w:szCs w:val="22"/>
        </w:rPr>
        <w:t xml:space="preserve"> a family member knows the fund exists and how to access it, if needed</w:t>
      </w:r>
    </w:p>
    <w:p w:rsidR="00E049C0" w:rsidRDefault="007F5B50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When to Use It (And When Not To)</w:t>
      </w:r>
    </w:p>
    <w:p w:rsidR="00E049C0" w:rsidRDefault="007F5B50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Reserve</w:t>
      </w:r>
      <w:r>
        <w:rPr>
          <w:rFonts w:ascii="Work Sans" w:eastAsia="Work Sans" w:hAnsi="Work Sans" w:cs="Work Sans"/>
          <w:sz w:val="22"/>
          <w:szCs w:val="22"/>
        </w:rPr>
        <w:t xml:space="preserve"> for genuine emergencies</w:t>
      </w:r>
    </w:p>
    <w:p w:rsidR="00E049C0" w:rsidRDefault="007F5B50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Job loss, medical emergencies, urgent essential repairs</w:t>
      </w:r>
    </w:p>
    <w:p w:rsidR="00E049C0" w:rsidRDefault="007F5B50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EF381D">
        <w:rPr>
          <w:rFonts w:ascii="Work Sans" w:eastAsia="Work Sans" w:hAnsi="Work Sans" w:cs="Work Sans"/>
          <w:sz w:val="22"/>
          <w:szCs w:val="22"/>
        </w:rPr>
        <w:t>Avoid</w:t>
      </w:r>
      <w:r>
        <w:rPr>
          <w:rFonts w:ascii="Work Sans" w:eastAsia="Work Sans" w:hAnsi="Work Sans" w:cs="Work Sans"/>
          <w:sz w:val="22"/>
          <w:szCs w:val="22"/>
        </w:rPr>
        <w:t xml:space="preserve"> dipping into it for planned expenses, lifestyle upgrades or investment opportunities</w:t>
      </w:r>
    </w:p>
    <w:p w:rsidR="00E049C0" w:rsidRDefault="007F5B50">
      <w:pPr>
        <w:pBdr>
          <w:top w:val="single" w:sz="4" w:space="8" w:color="E3D9C2"/>
        </w:pBdr>
        <w:spacing w:before="400"/>
      </w:pPr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>This checklist is meant to help you think through and organise your own emergency fund. It does not constitute personalised financial advice.</w:t>
      </w:r>
    </w:p>
    <w:sectPr w:rsidR="00E049C0" w:rsidSect="00E049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12F0" w:rsidRDefault="004812F0" w:rsidP="0060513F">
      <w:r>
        <w:separator/>
      </w:r>
    </w:p>
  </w:endnote>
  <w:endnote w:type="continuationSeparator" w:id="0">
    <w:p w:rsidR="004812F0" w:rsidRDefault="004812F0" w:rsidP="006051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ork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3F" w:rsidRDefault="0060513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3F" w:rsidRDefault="0060513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3F" w:rsidRDefault="006051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12F0" w:rsidRDefault="004812F0" w:rsidP="0060513F">
      <w:r>
        <w:separator/>
      </w:r>
    </w:p>
  </w:footnote>
  <w:footnote w:type="continuationSeparator" w:id="0">
    <w:p w:rsidR="004812F0" w:rsidRDefault="004812F0" w:rsidP="006051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3F" w:rsidRDefault="0060513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760407" o:spid="_x0000_s4098" type="#_x0000_t136" style="position:absolute;margin-left:0;margin-top:0;width:569.25pt;height:66.9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3F" w:rsidRDefault="0060513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760408" o:spid="_x0000_s4099" type="#_x0000_t136" style="position:absolute;margin-left:0;margin-top:0;width:569.25pt;height:66.9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3F" w:rsidRDefault="0060513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760406" o:spid="_x0000_s4097" type="#_x0000_t136" style="position:absolute;margin-left:0;margin-top:0;width:569.25pt;height:66.9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D5AD2"/>
    <w:multiLevelType w:val="hybridMultilevel"/>
    <w:tmpl w:val="D67CE846"/>
    <w:lvl w:ilvl="0" w:tplc="82F67B50">
      <w:start w:val="1"/>
      <w:numFmt w:val="bullet"/>
      <w:lvlText w:val="●"/>
      <w:lvlJc w:val="left"/>
      <w:pPr>
        <w:ind w:left="720" w:hanging="360"/>
      </w:pPr>
    </w:lvl>
    <w:lvl w:ilvl="1" w:tplc="1818D43A">
      <w:start w:val="1"/>
      <w:numFmt w:val="bullet"/>
      <w:lvlText w:val="○"/>
      <w:lvlJc w:val="left"/>
      <w:pPr>
        <w:ind w:left="1440" w:hanging="360"/>
      </w:pPr>
    </w:lvl>
    <w:lvl w:ilvl="2" w:tplc="6DA6FD5A">
      <w:start w:val="1"/>
      <w:numFmt w:val="bullet"/>
      <w:lvlText w:val="■"/>
      <w:lvlJc w:val="left"/>
      <w:pPr>
        <w:ind w:left="2160" w:hanging="360"/>
      </w:pPr>
    </w:lvl>
    <w:lvl w:ilvl="3" w:tplc="F2FC61F0">
      <w:start w:val="1"/>
      <w:numFmt w:val="bullet"/>
      <w:lvlText w:val="●"/>
      <w:lvlJc w:val="left"/>
      <w:pPr>
        <w:ind w:left="2880" w:hanging="360"/>
      </w:pPr>
    </w:lvl>
    <w:lvl w:ilvl="4" w:tplc="93A6C7B2">
      <w:start w:val="1"/>
      <w:numFmt w:val="bullet"/>
      <w:lvlText w:val="○"/>
      <w:lvlJc w:val="left"/>
      <w:pPr>
        <w:ind w:left="3600" w:hanging="360"/>
      </w:pPr>
    </w:lvl>
    <w:lvl w:ilvl="5" w:tplc="7C32321C">
      <w:start w:val="1"/>
      <w:numFmt w:val="bullet"/>
      <w:lvlText w:val="■"/>
      <w:lvlJc w:val="left"/>
      <w:pPr>
        <w:ind w:left="4320" w:hanging="360"/>
      </w:pPr>
    </w:lvl>
    <w:lvl w:ilvl="6" w:tplc="E1A89312">
      <w:start w:val="1"/>
      <w:numFmt w:val="bullet"/>
      <w:lvlText w:val="●"/>
      <w:lvlJc w:val="left"/>
      <w:pPr>
        <w:ind w:left="5040" w:hanging="360"/>
      </w:pPr>
    </w:lvl>
    <w:lvl w:ilvl="7" w:tplc="AAD670EE">
      <w:start w:val="1"/>
      <w:numFmt w:val="bullet"/>
      <w:lvlText w:val="●"/>
      <w:lvlJc w:val="left"/>
      <w:pPr>
        <w:ind w:left="5760" w:hanging="360"/>
      </w:pPr>
    </w:lvl>
    <w:lvl w:ilvl="8" w:tplc="F07E9A1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049C0"/>
    <w:rsid w:val="00014604"/>
    <w:rsid w:val="003557BB"/>
    <w:rsid w:val="0042517E"/>
    <w:rsid w:val="004812F0"/>
    <w:rsid w:val="0060513F"/>
    <w:rsid w:val="006D1654"/>
    <w:rsid w:val="007F1229"/>
    <w:rsid w:val="007F5B50"/>
    <w:rsid w:val="00E049C0"/>
    <w:rsid w:val="00EF3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654"/>
  </w:style>
  <w:style w:type="paragraph" w:styleId="Heading1">
    <w:name w:val="heading 1"/>
    <w:qFormat/>
    <w:rsid w:val="00E049C0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E049C0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E049C0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E049C0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E049C0"/>
    <w:pPr>
      <w:outlineLvl w:val="4"/>
    </w:pPr>
    <w:rPr>
      <w:color w:val="2E74B5"/>
    </w:rPr>
  </w:style>
  <w:style w:type="paragraph" w:styleId="Heading6">
    <w:name w:val="heading 6"/>
    <w:qFormat/>
    <w:rsid w:val="00E049C0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E049C0"/>
    <w:rPr>
      <w:sz w:val="56"/>
      <w:szCs w:val="56"/>
    </w:rPr>
  </w:style>
  <w:style w:type="paragraph" w:customStyle="1" w:styleId="Strong1">
    <w:name w:val="Strong1"/>
    <w:qFormat/>
    <w:rsid w:val="00E049C0"/>
    <w:rPr>
      <w:b/>
      <w:bCs/>
    </w:rPr>
  </w:style>
  <w:style w:type="paragraph" w:styleId="ListParagraph">
    <w:name w:val="List Paragraph"/>
    <w:qFormat/>
    <w:rsid w:val="00E049C0"/>
  </w:style>
  <w:style w:type="character" w:styleId="Hyperlink">
    <w:name w:val="Hyperlink"/>
    <w:uiPriority w:val="99"/>
    <w:unhideWhenUsed/>
    <w:rsid w:val="00E049C0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E049C0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E049C0"/>
  </w:style>
  <w:style w:type="character" w:customStyle="1" w:styleId="FootnoteTextChar">
    <w:name w:val="Footnote Text Char"/>
    <w:link w:val="FootnoteText"/>
    <w:uiPriority w:val="99"/>
    <w:semiHidden/>
    <w:unhideWhenUsed/>
    <w:rsid w:val="00E049C0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E049C0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E049C0"/>
  </w:style>
  <w:style w:type="character" w:customStyle="1" w:styleId="EndnoteTextChar">
    <w:name w:val="Endnote Text Char"/>
    <w:link w:val="EndnoteText"/>
    <w:uiPriority w:val="99"/>
    <w:semiHidden/>
    <w:unhideWhenUsed/>
    <w:rsid w:val="00E049C0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6051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513F"/>
  </w:style>
  <w:style w:type="paragraph" w:styleId="Footer">
    <w:name w:val="footer"/>
    <w:basedOn w:val="Normal"/>
    <w:link w:val="FooterChar"/>
    <w:uiPriority w:val="99"/>
    <w:semiHidden/>
    <w:unhideWhenUsed/>
    <w:rsid w:val="006051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513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Mitali Mehta</cp:lastModifiedBy>
  <cp:revision>6</cp:revision>
  <dcterms:created xsi:type="dcterms:W3CDTF">2026-07-08T12:27:00Z</dcterms:created>
  <dcterms:modified xsi:type="dcterms:W3CDTF">2026-09-21T05:49:00Z</dcterms:modified>
</cp:coreProperties>
</file>