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44C" w:rsidRDefault="0012244C" w:rsidP="00D37F0A">
      <w:pPr>
        <w:spacing w:after="80" w:line="240" w:lineRule="auto"/>
        <w:rPr>
          <w:rFonts w:ascii="Lora" w:eastAsia="Lora" w:hAnsi="Lora" w:cs="Lora"/>
          <w:b/>
          <w:color w:val="2E4A35"/>
          <w:sz w:val="44"/>
          <w:szCs w:val="44"/>
        </w:rPr>
      </w:pPr>
      <w:r w:rsidRPr="00D37F0A">
        <w:rPr>
          <w:rFonts w:ascii="Lora" w:eastAsia="Lora" w:hAnsi="Lora" w:cs="Lora"/>
          <w:b/>
          <w:color w:val="2E4A35"/>
          <w:sz w:val="44"/>
          <w:szCs w:val="44"/>
        </w:rPr>
        <w:t>Estate Planning Checklist</w:t>
      </w:r>
    </w:p>
    <w:p w:rsidR="00D37F0A" w:rsidRPr="00D37F0A" w:rsidRDefault="00D37F0A" w:rsidP="00D37F0A">
      <w:pPr>
        <w:spacing w:after="320" w:line="240" w:lineRule="auto"/>
        <w:rPr>
          <w:rFonts w:ascii="Work Sans" w:eastAsia="Work Sans" w:hAnsi="Work Sans" w:cs="Work Sans"/>
          <w:i/>
          <w:iCs/>
          <w:color w:val="615C50"/>
        </w:rPr>
      </w:pPr>
      <w:r w:rsidRPr="00D37F0A">
        <w:rPr>
          <w:rFonts w:ascii="Work Sans" w:eastAsia="Work Sans" w:hAnsi="Work Sans" w:cs="Work Sans"/>
          <w:i/>
          <w:iCs/>
          <w:color w:val="615C50"/>
        </w:rPr>
        <w:t>Use this checklist to review and organise the key documents, nominations, and decisions that form an important part of your estate plan — helping ensure your wishes are clearly documented and your loved ones are better prepared.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1: Take Stock of Your Assets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hAnsi="Garamond"/>
          <w:sz w:val="22"/>
          <w:szCs w:val="22"/>
        </w:rPr>
        <w:t>Prepare an updated list of all assets and liabilities.</w:t>
      </w:r>
    </w:p>
    <w:p w:rsidR="0012244C" w:rsidRPr="001C28DE" w:rsidRDefault="0012244C" w:rsidP="0012244C">
      <w:pPr>
        <w:pStyle w:val="Heading3"/>
        <w:rPr>
          <w:rFonts w:ascii="Garamond" w:hAnsi="Garamond"/>
          <w:color w:val="auto"/>
        </w:rPr>
      </w:pPr>
      <w:r w:rsidRPr="001C28DE">
        <w:rPr>
          <w:rFonts w:ascii="Garamond" w:hAnsi="Garamond"/>
          <w:color w:val="auto"/>
        </w:rPr>
        <w:t>Financial Assets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Bank accounts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Fixed deposits / RDs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Mutual funds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Shares and </w:t>
      </w:r>
      <w:r>
        <w:rPr>
          <w:rFonts w:ascii="Garamond" w:hAnsi="Garamond"/>
          <w:sz w:val="22"/>
          <w:szCs w:val="22"/>
        </w:rPr>
        <w:t>D</w:t>
      </w:r>
      <w:r w:rsidRPr="001C28DE">
        <w:rPr>
          <w:rFonts w:ascii="Garamond" w:hAnsi="Garamond"/>
          <w:sz w:val="22"/>
          <w:szCs w:val="22"/>
        </w:rPr>
        <w:t>emat accounts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Bonds / NCDs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PPF / EPF / NPS balances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Insurance policies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Pension accounts and annuities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Gold (physical and digital)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Cryptocurrency (if any)</w:t>
      </w:r>
    </w:p>
    <w:p w:rsidR="0012244C" w:rsidRPr="001C28DE" w:rsidRDefault="0012244C" w:rsidP="0012244C">
      <w:pPr>
        <w:pStyle w:val="Heading3"/>
        <w:rPr>
          <w:rFonts w:ascii="Garamond" w:hAnsi="Garamond"/>
          <w:color w:val="auto"/>
        </w:rPr>
      </w:pPr>
      <w:r w:rsidRPr="001C28DE">
        <w:rPr>
          <w:rFonts w:ascii="Garamond" w:hAnsi="Garamond"/>
          <w:color w:val="auto"/>
        </w:rPr>
        <w:t>Physical Assets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Residential property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Commercial property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Agricultural land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Vehicles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Jewellery and valuables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Collectibles and heirlooms</w:t>
      </w:r>
    </w:p>
    <w:p w:rsidR="0012244C" w:rsidRPr="001C28DE" w:rsidRDefault="0012244C" w:rsidP="0012244C">
      <w:pPr>
        <w:pStyle w:val="Heading3"/>
        <w:rPr>
          <w:rFonts w:ascii="Garamond" w:hAnsi="Garamond"/>
          <w:color w:val="auto"/>
        </w:rPr>
      </w:pPr>
      <w:r w:rsidRPr="001C28DE">
        <w:rPr>
          <w:rFonts w:ascii="Garamond" w:hAnsi="Garamond"/>
          <w:color w:val="auto"/>
        </w:rPr>
        <w:t>Business Interests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Partnership interests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Proprietorship assets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Shares in private companies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LLP interests</w:t>
      </w:r>
    </w:p>
    <w:p w:rsidR="0012244C" w:rsidRPr="001C28DE" w:rsidRDefault="0012244C" w:rsidP="0012244C">
      <w:pPr>
        <w:pStyle w:val="Heading3"/>
        <w:rPr>
          <w:rFonts w:ascii="Garamond" w:hAnsi="Garamond"/>
          <w:color w:val="auto"/>
        </w:rPr>
      </w:pPr>
      <w:r w:rsidRPr="001C28DE">
        <w:rPr>
          <w:rFonts w:ascii="Garamond" w:hAnsi="Garamond"/>
          <w:color w:val="auto"/>
        </w:rPr>
        <w:t>Liabilities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Home loans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Personal loans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Business borrowings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Credit card dues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Guarantees given to others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lastRenderedPageBreak/>
        <w:t>Step 2: Verify Ownership and Documentation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Property documents are complete and traceable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Investment statements are updated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Demat accounts are active and reconciled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Insurance policies are available and current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Loan documents are organised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Digital copies are maintained securely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3: Review Nominations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>
        <w:rPr>
          <w:rFonts w:ascii="Garamond" w:hAnsi="Garamond"/>
          <w:sz w:val="22"/>
          <w:szCs w:val="22"/>
        </w:rPr>
        <w:t xml:space="preserve"> Bank accounts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Mutual funds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Demat accounts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Insurance policies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EPF / PPF / NPS nominations are updated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Style w:val="Strong"/>
          <w:rFonts w:ascii="Garamond" w:eastAsiaTheme="majorEastAsia" w:hAnsi="Garamond"/>
          <w:sz w:val="22"/>
          <w:szCs w:val="22"/>
        </w:rPr>
        <w:t>Remember:</w:t>
      </w:r>
      <w:r w:rsidRPr="001C28DE">
        <w:rPr>
          <w:rFonts w:ascii="Garamond" w:hAnsi="Garamond"/>
          <w:sz w:val="22"/>
          <w:szCs w:val="22"/>
        </w:rPr>
        <w:t xml:space="preserve"> Nomination facilitates transmission; it is not always a substitute for succession planning.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4: Prepare or Update Your Will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Will drafted clearly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Beneficiaries identified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Executor appointed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Alternate executor appointed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Guardians named for minor children (if applicable)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Witnesses identified and signatures completed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Latest Will supersedes all previous Wills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5: Review Beneficiary Distribution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hAnsi="Garamond"/>
          <w:sz w:val="22"/>
          <w:szCs w:val="22"/>
        </w:rPr>
        <w:t>Ask yourself: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</w:t>
      </w:r>
      <w:proofErr w:type="gramStart"/>
      <w:r w:rsidRPr="001C28DE">
        <w:rPr>
          <w:rFonts w:ascii="Garamond" w:hAnsi="Garamond"/>
          <w:sz w:val="22"/>
          <w:szCs w:val="22"/>
        </w:rPr>
        <w:t>Who</w:t>
      </w:r>
      <w:proofErr w:type="gramEnd"/>
      <w:r w:rsidRPr="001C28DE">
        <w:rPr>
          <w:rFonts w:ascii="Garamond" w:hAnsi="Garamond"/>
          <w:sz w:val="22"/>
          <w:szCs w:val="22"/>
        </w:rPr>
        <w:t xml:space="preserve"> receives what?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</w:t>
      </w:r>
      <w:proofErr w:type="gramStart"/>
      <w:r w:rsidRPr="001C28DE">
        <w:rPr>
          <w:rFonts w:ascii="Garamond" w:hAnsi="Garamond"/>
          <w:sz w:val="22"/>
          <w:szCs w:val="22"/>
        </w:rPr>
        <w:t>Is</w:t>
      </w:r>
      <w:proofErr w:type="gramEnd"/>
      <w:r w:rsidRPr="001C28DE">
        <w:rPr>
          <w:rFonts w:ascii="Garamond" w:hAnsi="Garamond"/>
          <w:sz w:val="22"/>
          <w:szCs w:val="22"/>
        </w:rPr>
        <w:t xml:space="preserve"> the distribution equitable and intentional?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Have family circumstances changed?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Have any major assets been acquired recently?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Have marriage, divorce, birth, or death altered your wishes?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6: Consider a Trust (Where Appropriate)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Minor beneficiaries involved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Special-needs dependents involved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Large family wealth involved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Business succession concerns exist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Desire for controlled </w:t>
      </w:r>
      <w:r>
        <w:rPr>
          <w:rFonts w:ascii="Garamond" w:hAnsi="Garamond"/>
          <w:sz w:val="22"/>
          <w:szCs w:val="22"/>
        </w:rPr>
        <w:t xml:space="preserve">or phased </w:t>
      </w:r>
      <w:r w:rsidRPr="001C28DE">
        <w:rPr>
          <w:rFonts w:ascii="Garamond" w:hAnsi="Garamond"/>
          <w:sz w:val="22"/>
          <w:szCs w:val="22"/>
        </w:rPr>
        <w:t>distribution of assets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lastRenderedPageBreak/>
        <w:t>Step 7: Plan for Incapacity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Trusted family members know where documents are stored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Joint holders are updated where appropriate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Medical wishes discussed with family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Emergency contact list maintained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8: Organise Your Digital Estate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Email accounts documented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Online banking records identified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Investment platform access documented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Password management system maintained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Social media accounts considered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9: Communicate Important Information</w:t>
      </w:r>
    </w:p>
    <w:p w:rsidR="0012244C" w:rsidRPr="001C28DE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Executor informed of appointment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Family aware that a Will exists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Location of important documents disclosed to trusted persons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Key advisors' contact details recorded</w:t>
      </w:r>
    </w:p>
    <w:p w:rsidR="0012244C" w:rsidRPr="00D37F0A" w:rsidRDefault="0012244C" w:rsidP="00D37F0A">
      <w:pPr>
        <w:pBdr>
          <w:bottom w:val="single" w:sz="6" w:space="4" w:color="C79A3F"/>
        </w:pBdr>
        <w:spacing w:before="300" w:after="120" w:line="240" w:lineRule="auto"/>
        <w:rPr>
          <w:rFonts w:ascii="Garamond" w:hAnsi="Garamond"/>
          <w:b/>
        </w:rPr>
      </w:pPr>
      <w:r w:rsidRPr="00D37F0A">
        <w:rPr>
          <w:rFonts w:ascii="Garamond" w:hAnsi="Garamond"/>
          <w:b/>
        </w:rPr>
        <w:t>Step 10: Review Periodically</w:t>
      </w:r>
    </w:p>
    <w:p w:rsidR="0012244C" w:rsidRDefault="0012244C" w:rsidP="0012244C">
      <w:pPr>
        <w:pStyle w:val="NormalWeb"/>
        <w:rPr>
          <w:rFonts w:ascii="Garamond" w:hAnsi="Garamond"/>
          <w:sz w:val="22"/>
          <w:szCs w:val="22"/>
        </w:rPr>
      </w:pPr>
      <w:r w:rsidRPr="001C28DE">
        <w:rPr>
          <w:rFonts w:ascii="Garamond" w:hAnsi="Garamond"/>
          <w:sz w:val="22"/>
          <w:szCs w:val="22"/>
        </w:rPr>
        <w:t>Review your estate plan</w:t>
      </w:r>
      <w:proofErr w:type="gramStart"/>
      <w:r w:rsidRPr="001C28DE">
        <w:rPr>
          <w:rFonts w:ascii="Garamond" w:hAnsi="Garamond"/>
          <w:sz w:val="22"/>
          <w:szCs w:val="22"/>
        </w:rPr>
        <w:t>:</w:t>
      </w:r>
      <w:proofErr w:type="gramEnd"/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Every 3–5 years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After marriage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After divorce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After birth of a child/grandchild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After acquisition of major assets</w:t>
      </w:r>
      <w:r w:rsidRPr="001C28DE">
        <w:rPr>
          <w:rFonts w:ascii="Garamond" w:hAnsi="Garamond"/>
          <w:sz w:val="22"/>
          <w:szCs w:val="22"/>
        </w:rPr>
        <w:br/>
      </w:r>
      <w:r w:rsidRPr="001C28DE">
        <w:rPr>
          <w:rFonts w:ascii="Garamond" w:eastAsia="MS Mincho" w:hAnsi="MS Mincho" w:cs="MS Mincho"/>
          <w:sz w:val="22"/>
          <w:szCs w:val="22"/>
        </w:rPr>
        <w:t>☐</w:t>
      </w:r>
      <w:r w:rsidRPr="001C28DE">
        <w:rPr>
          <w:rFonts w:ascii="Garamond" w:hAnsi="Garamond"/>
          <w:sz w:val="22"/>
          <w:szCs w:val="22"/>
        </w:rPr>
        <w:t xml:space="preserve"> After relocation or significant change in circumstances</w:t>
      </w:r>
    </w:p>
    <w:p w:rsidR="00450609" w:rsidRDefault="00450609" w:rsidP="00450609">
      <w:pPr>
        <w:pBdr>
          <w:top w:val="single" w:sz="4" w:space="8" w:color="E3D9C2"/>
        </w:pBdr>
        <w:spacing w:before="400"/>
      </w:pPr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This checklist is intended as an educational and review tool. It does not constitute personalised insurance, </w:t>
      </w:r>
      <w:proofErr w:type="gramStart"/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>financial  or</w:t>
      </w:r>
      <w:proofErr w:type="gramEnd"/>
      <w:r>
        <w:rPr>
          <w:rFonts w:ascii="Work Sans" w:eastAsia="Work Sans" w:hAnsi="Work Sans" w:cs="Work Sans"/>
          <w:i/>
          <w:iCs/>
          <w:color w:val="615C50"/>
          <w:sz w:val="18"/>
          <w:szCs w:val="18"/>
        </w:rPr>
        <w:t xml:space="preserve"> investment advice.</w:t>
      </w:r>
    </w:p>
    <w:p w:rsidR="00450609" w:rsidRPr="001C28DE" w:rsidRDefault="00450609" w:rsidP="0012244C">
      <w:pPr>
        <w:pStyle w:val="NormalWeb"/>
        <w:rPr>
          <w:rFonts w:ascii="Garamond" w:hAnsi="Garamond"/>
          <w:sz w:val="22"/>
          <w:szCs w:val="22"/>
        </w:rPr>
      </w:pPr>
    </w:p>
    <w:sectPr w:rsidR="00450609" w:rsidRPr="001C28DE" w:rsidSect="00787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41C" w:rsidRDefault="0093641C" w:rsidP="00C13A9B">
      <w:pPr>
        <w:spacing w:after="0" w:line="240" w:lineRule="auto"/>
      </w:pPr>
      <w:r>
        <w:separator/>
      </w:r>
    </w:p>
  </w:endnote>
  <w:endnote w:type="continuationSeparator" w:id="0">
    <w:p w:rsidR="0093641C" w:rsidRDefault="0093641C" w:rsidP="00C13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ork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41C" w:rsidRDefault="0093641C" w:rsidP="00C13A9B">
      <w:pPr>
        <w:spacing w:after="0" w:line="240" w:lineRule="auto"/>
      </w:pPr>
      <w:r>
        <w:separator/>
      </w:r>
    </w:p>
  </w:footnote>
  <w:footnote w:type="continuationSeparator" w:id="0">
    <w:p w:rsidR="0093641C" w:rsidRDefault="0093641C" w:rsidP="00C13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096579" o:spid="_x0000_s2050" type="#_x0000_t136" style="position:absolute;margin-left:0;margin-top:0;width:590.35pt;height:69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096580" o:spid="_x0000_s2051" type="#_x0000_t136" style="position:absolute;margin-left:0;margin-top:0;width:590.35pt;height:69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A9B" w:rsidRDefault="00C13A9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7096578" o:spid="_x0000_s2049" type="#_x0000_t136" style="position:absolute;margin-left:0;margin-top:0;width:590.35pt;height:69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© MITALI MEHT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4B75"/>
    <w:multiLevelType w:val="multilevel"/>
    <w:tmpl w:val="052A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D7DA4"/>
    <w:multiLevelType w:val="multilevel"/>
    <w:tmpl w:val="86AE6540"/>
    <w:lvl w:ilvl="0">
      <w:numFmt w:val="decimal"/>
      <w:pStyle w:val="Heading1"/>
      <w:suff w:val="space"/>
      <w:lvlText w:val="Chapter %1"/>
      <w:lvlJc w:val="left"/>
      <w:pPr>
        <w:ind w:left="1418" w:firstLine="0"/>
      </w:pPr>
      <w:rPr>
        <w:rFonts w:ascii="Garamond" w:hAnsi="Garamond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 w:val="36"/>
        <w:szCs w:val="36"/>
        <w:u w:val="none"/>
        <w:vertAlign w:val="baseline"/>
        <w:em w:val="none"/>
      </w:r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12244C"/>
    <w:rsid w:val="0012244C"/>
    <w:rsid w:val="00450609"/>
    <w:rsid w:val="00787625"/>
    <w:rsid w:val="0093641C"/>
    <w:rsid w:val="00C13A9B"/>
    <w:rsid w:val="00D37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44C"/>
  </w:style>
  <w:style w:type="paragraph" w:styleId="Heading1">
    <w:name w:val="heading 1"/>
    <w:basedOn w:val="Normal"/>
    <w:next w:val="Normal"/>
    <w:link w:val="Heading1Char"/>
    <w:uiPriority w:val="9"/>
    <w:qFormat/>
    <w:rsid w:val="0012244C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link w:val="Heading2Char"/>
    <w:uiPriority w:val="9"/>
    <w:qFormat/>
    <w:rsid w:val="0012244C"/>
    <w:pPr>
      <w:numPr>
        <w:ilvl w:val="1"/>
        <w:numId w:val="1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244C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244C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44C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44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44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44C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44C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4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2244C"/>
    <w:rPr>
      <w:rFonts w:ascii="Times New Roman" w:eastAsia="Times New Roman" w:hAnsi="Times New Roman" w:cs="Times New Roman"/>
      <w:b/>
      <w:bCs/>
      <w:sz w:val="36"/>
      <w:szCs w:val="3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12244C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12244C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44C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44C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44C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44C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44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Strong">
    <w:name w:val="Strong"/>
    <w:basedOn w:val="DefaultParagraphFont"/>
    <w:uiPriority w:val="22"/>
    <w:qFormat/>
    <w:rsid w:val="0012244C"/>
    <w:rPr>
      <w:b/>
      <w:bCs/>
    </w:rPr>
  </w:style>
  <w:style w:type="paragraph" w:styleId="NormalWeb">
    <w:name w:val="Normal (Web)"/>
    <w:basedOn w:val="Normal"/>
    <w:uiPriority w:val="99"/>
    <w:unhideWhenUsed/>
    <w:rsid w:val="00122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12244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4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13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3A9B"/>
  </w:style>
  <w:style w:type="paragraph" w:styleId="Footer">
    <w:name w:val="footer"/>
    <w:basedOn w:val="Normal"/>
    <w:link w:val="FooterChar"/>
    <w:uiPriority w:val="99"/>
    <w:semiHidden/>
    <w:unhideWhenUsed/>
    <w:rsid w:val="00C13A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3A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2FAA67-909C-4E06-B1C1-96C19F5B4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Mitali Mehta</dc:creator>
  <cp:keywords/>
  <dc:description/>
  <cp:lastModifiedBy>Mitali Mehta</cp:lastModifiedBy>
  <cp:revision>3</cp:revision>
  <dcterms:created xsi:type="dcterms:W3CDTF">2026-09-21T04:58:00Z</dcterms:created>
  <dcterms:modified xsi:type="dcterms:W3CDTF">2026-09-21T05:38:00Z</dcterms:modified>
</cp:coreProperties>
</file>