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20"/>
          <w:color w:val="A77E39"/>
        </w:rPr>
        <w:t xml:space="preserve">MONEY MAZE</w:t>
      </w:r>
    </w:p>
    <w:p>
      <w:pPr>
        <w:spacing w:after="200"/>
      </w:pPr>
      <w:r>
        <w:rPr>
          <w:sz w:val="16"/>
          <w:color w:val="6E6E68"/>
        </w:rPr>
        <w:t xml:space="preserve">Paving Your Financial Path</w:t>
      </w:r>
    </w:p>
    <w:p>
      <w:pPr>
        <w:spacing w:after="60"/>
      </w:pPr>
      <w:r>
        <w:rPr>
          <w:b/>
          <w:sz w:val="32"/>
          <w:color w:val="1F3D34"/>
        </w:rPr>
        <w:t xml:space="preserve">Retirement Bucket Planning Worksheet</w:t>
      </w:r>
    </w:p>
    <w:p>
      <w:pPr>
        <w:spacing w:after="200"/>
      </w:pPr>
      <w:r>
        <w:rPr>
          <w:sz w:val="20"/>
          <w:color w:val="A77E39"/>
        </w:rPr>
        <w:t xml:space="preserve">Allocate across liquidity, income, stability and growth buckets.</w:t>
      </w:r>
    </w:p>
    <w:p>
      <w:pPr>
        <w:spacing w:after="200"/>
      </w:pPr>
      <w:r>
        <w:rPr>
          <w:sz w:val="20"/>
          <w:color w:val="4D514D"/>
        </w:rPr>
        <w:t xml:space="preserve">Split your retirement corpus into buckets by time horizon so cash flow never depends on the market mood.</w:t>
      </w:r>
    </w:p>
    <w:p>
      <w:pPr>
        <w:spacing w:after="140"/>
      </w:pPr>
      <w:r>
        <w:rPr>
          <w:sz w:val="20"/>
          <w:color w:val="2A2A2A"/>
        </w:rPr>
        <w:t xml:space="preserve">[   ]  Bucket 1 (0-2 yrs) - liquid cash &amp; FDs: </w:t>
      </w:r>
    </w:p>
    <w:p>
      <w:pPr>
        <w:spacing w:after="140"/>
      </w:pPr>
      <w:r>
        <w:rPr>
          <w:sz w:val="20"/>
          <w:color w:val="2A2A2A"/>
        </w:rPr>
        <w:t xml:space="preserve">[   ]  Bucket 2 (2-5 yrs) - stable income (debt / SWP source): </w:t>
      </w:r>
    </w:p>
    <w:p>
      <w:pPr>
        <w:spacing w:after="140"/>
      </w:pPr>
      <w:r>
        <w:rPr>
          <w:sz w:val="20"/>
          <w:color w:val="2A2A2A"/>
        </w:rPr>
        <w:t xml:space="preserve">[   ]  Bucket 3 (5-10 yrs) - balanced / conservative hybrid: </w:t>
      </w:r>
    </w:p>
    <w:p>
      <w:pPr>
        <w:spacing w:after="140"/>
      </w:pPr>
      <w:r>
        <w:rPr>
          <w:sz w:val="20"/>
          <w:color w:val="2A2A2A"/>
        </w:rPr>
        <w:t xml:space="preserve">[   ]  Bucket 4 (10+ yrs) - growth (equity): </w:t>
      </w:r>
    </w:p>
    <w:p>
      <w:pPr>
        <w:spacing w:after="140"/>
      </w:pPr>
      <w:r>
        <w:rPr>
          <w:sz w:val="20"/>
          <w:color w:val="2A2A2A"/>
        </w:rPr>
        <w:t xml:space="preserve">[   ]  Monthly expense to be funded from Buckets 1-2: </w:t>
      </w:r>
    </w:p>
    <w:p>
      <w:pPr>
        <w:spacing w:after="140"/>
      </w:pPr>
      <w:r>
        <w:rPr>
          <w:sz w:val="20"/>
          <w:color w:val="2A2A2A"/>
        </w:rPr>
        <w:t xml:space="preserve">[   ]  Refill rule: when and how Bucket 1 is topped up: </w:t>
      </w:r>
    </w:p>
    <w:p>
      <w:pPr>
        <w:spacing w:after="140"/>
      </w:pPr>
      <w:r>
        <w:rPr>
          <w:sz w:val="20"/>
          <w:color w:val="2A2A2A"/>
        </w:rPr>
        <w:t xml:space="preserve">[   ]  Review frequency for rebalancing: </w:t>
      </w:r>
    </w:p>
    <w:p>
      <w:pPr>
        <w:spacing w:after="0"/>
      </w:pPr>
      <w:r>
        <w:rPr>
          <w:sz w:val="16"/>
          <w:color w:val="6E6E68"/>
        </w:rPr>
        <w:t xml:space="preserve">Buckets turn a corpus into dependable income. - Money Maze</w:t>
      </w:r>
    </w:p>
    <w:sectPr/>
  </w:body>
</w:document>
</file>